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E395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0D17A0">
        <w:rPr>
          <w:rFonts w:ascii="Century Gothic" w:eastAsia="Times New Roman" w:hAnsi="Century Gothic" w:cs="Verdana"/>
          <w:b/>
          <w:sz w:val="28"/>
          <w:szCs w:val="28"/>
          <w:lang w:val="es-ES" w:eastAsia="es-ES"/>
        </w:rPr>
        <w:t xml:space="preserve"> NOVENA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0D17A0">
        <w:rPr>
          <w:rFonts w:ascii="Century Gothic" w:eastAsia="Times New Roman" w:hAnsi="Century Gothic" w:cs="Verdana"/>
          <w:b/>
          <w:sz w:val="24"/>
          <w:szCs w:val="24"/>
          <w:lang w:val="es-ES" w:eastAsia="es-ES"/>
        </w:rPr>
        <w:t>diecisiete</w:t>
      </w:r>
      <w:r w:rsidR="002F73E5">
        <w:rPr>
          <w:rFonts w:ascii="Century Gothic" w:eastAsia="Times New Roman" w:hAnsi="Century Gothic" w:cs="Verdana"/>
          <w:b/>
          <w:sz w:val="24"/>
          <w:szCs w:val="24"/>
          <w:lang w:val="es-ES" w:eastAsia="es-ES"/>
        </w:rPr>
        <w:t xml:space="preserve"> de junio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3954">
        <w:rPr>
          <w:rFonts w:ascii="Century Gothic" w:eastAsia="Times New Roman" w:hAnsi="Century Gothic" w:cs="Verdana"/>
          <w:b/>
          <w:sz w:val="24"/>
          <w:szCs w:val="24"/>
          <w:lang w:val="es-ES" w:eastAsia="es-ES"/>
        </w:rPr>
        <w:t>Vigésima</w:t>
      </w:r>
      <w:r w:rsidR="004D6774" w:rsidRPr="0052553A">
        <w:rPr>
          <w:rFonts w:ascii="Century Gothic" w:eastAsia="Times New Roman" w:hAnsi="Century Gothic" w:cs="Verdana"/>
          <w:b/>
          <w:sz w:val="24"/>
          <w:szCs w:val="24"/>
          <w:lang w:val="es-ES" w:eastAsia="es-ES"/>
        </w:rPr>
        <w:t xml:space="preserve"> </w:t>
      </w:r>
      <w:r w:rsidR="000D17A0">
        <w:rPr>
          <w:rFonts w:ascii="Century Gothic" w:eastAsia="Times New Roman" w:hAnsi="Century Gothic" w:cs="Verdana"/>
          <w:b/>
          <w:sz w:val="24"/>
          <w:szCs w:val="24"/>
          <w:lang w:val="es-ES" w:eastAsia="es-ES"/>
        </w:rPr>
        <w:t>Novena</w:t>
      </w:r>
      <w:r w:rsidR="00825D81">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 xml:space="preserve">Magistrados que integran la Sala Superior del Tribunal en cita, </w:t>
      </w:r>
      <w:bookmarkStart w:id="0" w:name="_GoBack"/>
      <w:bookmarkEnd w:id="0"/>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0D17A0">
        <w:rPr>
          <w:rFonts w:ascii="Century Gothic" w:hAnsi="Century Gothic"/>
          <w:b w:val="0"/>
          <w:sz w:val="24"/>
          <w:szCs w:val="24"/>
        </w:rPr>
        <w:t>359</w:t>
      </w:r>
      <w:r w:rsidR="00EF491E">
        <w:rPr>
          <w:rFonts w:ascii="Century Gothic" w:hAnsi="Century Gothic"/>
          <w:b w:val="0"/>
          <w:sz w:val="24"/>
          <w:szCs w:val="24"/>
        </w:rPr>
        <w:t>/2019</w:t>
      </w:r>
      <w:r w:rsidR="000D17A0">
        <w:rPr>
          <w:rFonts w:ascii="Century Gothic" w:hAnsi="Century Gothic"/>
          <w:b w:val="0"/>
          <w:sz w:val="24"/>
          <w:szCs w:val="24"/>
        </w:rPr>
        <w:t>-C</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F491E">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0D17A0">
        <w:rPr>
          <w:rFonts w:ascii="Century Gothic" w:hAnsi="Century Gothic"/>
          <w:b w:val="0"/>
          <w:sz w:val="24"/>
          <w:szCs w:val="24"/>
        </w:rPr>
        <w:t>Primer</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0D17A0">
        <w:rPr>
          <w:rFonts w:ascii="Century Gothic" w:hAnsi="Century Gothic"/>
          <w:b w:val="0"/>
          <w:sz w:val="24"/>
          <w:szCs w:val="24"/>
        </w:rPr>
        <w:t>386</w:t>
      </w:r>
      <w:r w:rsidR="004F0518" w:rsidRPr="0052553A">
        <w:rPr>
          <w:rFonts w:ascii="Century Gothic" w:hAnsi="Century Gothic"/>
          <w:b w:val="0"/>
          <w:sz w:val="24"/>
          <w:szCs w:val="24"/>
        </w:rPr>
        <w:t>/</w:t>
      </w:r>
      <w:r w:rsidR="000913EC">
        <w:rPr>
          <w:rFonts w:ascii="Century Gothic" w:hAnsi="Century Gothic"/>
          <w:b w:val="0"/>
          <w:sz w:val="24"/>
          <w:szCs w:val="24"/>
        </w:rPr>
        <w:t>2018</w:t>
      </w:r>
      <w:r w:rsidR="003F3506">
        <w:rPr>
          <w:rFonts w:ascii="Century Gothic" w:hAnsi="Century Gothic"/>
          <w:b w:val="0"/>
          <w:sz w:val="24"/>
          <w:szCs w:val="24"/>
        </w:rPr>
        <w:t xml:space="preserve"> </w:t>
      </w:r>
      <w:r w:rsidRPr="0052553A">
        <w:rPr>
          <w:rFonts w:ascii="Century Gothic" w:hAnsi="Century Gothic"/>
          <w:b w:val="0"/>
          <w:sz w:val="24"/>
          <w:szCs w:val="24"/>
        </w:rPr>
        <w:t>recibido</w:t>
      </w:r>
      <w:r w:rsidR="00EF491E">
        <w:rPr>
          <w:rFonts w:ascii="Century Gothic" w:hAnsi="Century Gothic"/>
          <w:b w:val="0"/>
          <w:sz w:val="24"/>
          <w:szCs w:val="24"/>
        </w:rPr>
        <w:t xml:space="preserve"> 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0D17A0">
        <w:rPr>
          <w:rFonts w:ascii="Century Gothic" w:hAnsi="Century Gothic"/>
          <w:b w:val="0"/>
          <w:sz w:val="24"/>
          <w:szCs w:val="24"/>
        </w:rPr>
        <w:t>tres</w:t>
      </w:r>
      <w:r w:rsidR="00EF491E">
        <w:rPr>
          <w:rFonts w:ascii="Century Gothic" w:hAnsi="Century Gothic"/>
          <w:b w:val="0"/>
          <w:sz w:val="24"/>
          <w:szCs w:val="24"/>
        </w:rPr>
        <w:t xml:space="preserve"> de junio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EF491E">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de sentencia del expediente 1327</w:t>
      </w:r>
      <w:r w:rsidRPr="0052553A">
        <w:rPr>
          <w:rFonts w:ascii="Century Gothic" w:hAnsi="Century Gothic"/>
          <w:b w:val="0"/>
          <w:sz w:val="24"/>
          <w:szCs w:val="24"/>
        </w:rPr>
        <w:t>/</w:t>
      </w:r>
      <w:r w:rsidR="000D17A0">
        <w:rPr>
          <w:rFonts w:ascii="Century Gothic" w:hAnsi="Century Gothic"/>
          <w:b w:val="0"/>
          <w:sz w:val="24"/>
          <w:szCs w:val="24"/>
        </w:rPr>
        <w:t>2017</w:t>
      </w:r>
      <w:r w:rsidR="000913EC">
        <w:rPr>
          <w:rFonts w:ascii="Century Gothic" w:hAnsi="Century Gothic"/>
          <w:b w:val="0"/>
          <w:sz w:val="24"/>
          <w:szCs w:val="24"/>
        </w:rPr>
        <w:t xml:space="preserve"> Recurso de Reclam</w:t>
      </w:r>
      <w:r>
        <w:rPr>
          <w:rFonts w:ascii="Century Gothic" w:hAnsi="Century Gothic"/>
          <w:b w:val="0"/>
          <w:sz w:val="24"/>
          <w:szCs w:val="24"/>
        </w:rPr>
        <w:t>ación</w:t>
      </w:r>
      <w:r w:rsidRPr="0052553A">
        <w:rPr>
          <w:rFonts w:ascii="Century Gothic" w:hAnsi="Century Gothic"/>
          <w:b w:val="0"/>
          <w:sz w:val="24"/>
          <w:szCs w:val="24"/>
        </w:rPr>
        <w:t xml:space="preserve"> derivado del Juicio Administrativo </w:t>
      </w:r>
      <w:r w:rsidR="000D17A0">
        <w:rPr>
          <w:rFonts w:ascii="Century Gothic" w:hAnsi="Century Gothic"/>
          <w:b w:val="0"/>
          <w:sz w:val="24"/>
          <w:szCs w:val="24"/>
        </w:rPr>
        <w:t>22</w:t>
      </w:r>
      <w:r w:rsidRPr="0052553A">
        <w:rPr>
          <w:rFonts w:ascii="Century Gothic" w:hAnsi="Century Gothic"/>
          <w:b w:val="0"/>
          <w:sz w:val="24"/>
          <w:szCs w:val="24"/>
        </w:rPr>
        <w:t>/</w:t>
      </w:r>
      <w:r w:rsidR="000D17A0">
        <w:rPr>
          <w:rFonts w:ascii="Century Gothic" w:hAnsi="Century Gothic"/>
          <w:b w:val="0"/>
          <w:sz w:val="24"/>
          <w:szCs w:val="24"/>
        </w:rPr>
        <w:t>2016</w:t>
      </w:r>
      <w:r w:rsidRPr="0052553A">
        <w:rPr>
          <w:rFonts w:ascii="Century Gothic" w:hAnsi="Century Gothic"/>
          <w:b w:val="0"/>
          <w:sz w:val="24"/>
          <w:szCs w:val="24"/>
        </w:rPr>
        <w:t xml:space="preserve"> del índice de l</w:t>
      </w:r>
      <w:r w:rsidR="000D17A0">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 en cumpl</w:t>
      </w:r>
      <w:r w:rsidR="000D17A0">
        <w:rPr>
          <w:rFonts w:ascii="Century Gothic" w:hAnsi="Century Gothic"/>
          <w:b w:val="0"/>
          <w:sz w:val="24"/>
          <w:szCs w:val="24"/>
        </w:rPr>
        <w:t>imiento al Juicio de Amparo 386/2018 del Primer</w:t>
      </w:r>
      <w:r>
        <w:rPr>
          <w:rFonts w:ascii="Century Gothic" w:hAnsi="Century Gothic"/>
          <w:b w:val="0"/>
          <w:sz w:val="24"/>
          <w:szCs w:val="24"/>
        </w:rPr>
        <w:t xml:space="preserve"> Tribunal Colegiado en Materia Administrativa del Tercer Circuito.</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0D17A0">
              <w:rPr>
                <w:rFonts w:eastAsia="Calibri"/>
                <w:b/>
                <w:szCs w:val="24"/>
              </w:rPr>
              <w:t>29</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0D17A0" w:rsidRPr="0052553A">
        <w:rPr>
          <w:rFonts w:ascii="Century Gothic" w:hAnsi="Century Gothic"/>
          <w:b w:val="0"/>
          <w:sz w:val="24"/>
          <w:szCs w:val="24"/>
        </w:rPr>
        <w:t>de</w:t>
      </w:r>
      <w:r w:rsidR="000D17A0">
        <w:rPr>
          <w:rFonts w:ascii="Century Gothic" w:hAnsi="Century Gothic"/>
          <w:b w:val="0"/>
          <w:sz w:val="24"/>
          <w:szCs w:val="24"/>
        </w:rPr>
        <w:t>l</w:t>
      </w:r>
      <w:r w:rsidR="000D17A0" w:rsidRPr="0052553A">
        <w:rPr>
          <w:rFonts w:ascii="Century Gothic" w:hAnsi="Century Gothic"/>
          <w:b w:val="0"/>
          <w:sz w:val="24"/>
          <w:szCs w:val="24"/>
        </w:rPr>
        <w:t xml:space="preserve"> oficio </w:t>
      </w:r>
      <w:r w:rsidR="000D17A0">
        <w:rPr>
          <w:rFonts w:ascii="Century Gothic" w:hAnsi="Century Gothic"/>
          <w:b w:val="0"/>
          <w:sz w:val="24"/>
          <w:szCs w:val="24"/>
        </w:rPr>
        <w:t>359/2019-C</w:t>
      </w:r>
      <w:r w:rsidR="000D17A0" w:rsidRPr="0052553A">
        <w:rPr>
          <w:rFonts w:ascii="Century Gothic" w:hAnsi="Century Gothic"/>
          <w:b w:val="0"/>
          <w:sz w:val="24"/>
          <w:szCs w:val="24"/>
        </w:rPr>
        <w:t xml:space="preserve"> que remite</w:t>
      </w:r>
      <w:r w:rsidR="000D17A0">
        <w:rPr>
          <w:rFonts w:ascii="Century Gothic" w:hAnsi="Century Gothic"/>
          <w:b w:val="0"/>
          <w:sz w:val="24"/>
          <w:szCs w:val="24"/>
        </w:rPr>
        <w:t xml:space="preserve"> el</w:t>
      </w:r>
      <w:r w:rsidR="000D17A0" w:rsidRPr="0052553A">
        <w:rPr>
          <w:rFonts w:ascii="Century Gothic" w:hAnsi="Century Gothic"/>
          <w:b w:val="0"/>
          <w:sz w:val="24"/>
          <w:szCs w:val="24"/>
        </w:rPr>
        <w:t xml:space="preserve"> Secretario </w:t>
      </w:r>
      <w:r w:rsidR="000D17A0">
        <w:rPr>
          <w:rFonts w:ascii="Century Gothic" w:hAnsi="Century Gothic"/>
          <w:b w:val="0"/>
          <w:sz w:val="24"/>
          <w:szCs w:val="24"/>
        </w:rPr>
        <w:t>de Acuerdos del Primer Tribunal Colegiado en Materia Administrativa del Tercer Circuito</w:t>
      </w:r>
      <w:r w:rsidR="000D17A0" w:rsidRPr="0052553A">
        <w:rPr>
          <w:rFonts w:ascii="Century Gothic" w:hAnsi="Century Gothic"/>
          <w:b w:val="0"/>
          <w:sz w:val="24"/>
          <w:szCs w:val="24"/>
        </w:rPr>
        <w:t>, relativo</w:t>
      </w:r>
      <w:r w:rsidR="000D17A0">
        <w:rPr>
          <w:rFonts w:ascii="Century Gothic" w:hAnsi="Century Gothic"/>
          <w:b w:val="0"/>
          <w:sz w:val="24"/>
          <w:szCs w:val="24"/>
        </w:rPr>
        <w:t xml:space="preserve"> </w:t>
      </w:r>
      <w:r w:rsidR="000D17A0" w:rsidRPr="0052553A">
        <w:rPr>
          <w:rFonts w:ascii="Century Gothic" w:hAnsi="Century Gothic"/>
          <w:b w:val="0"/>
          <w:sz w:val="24"/>
          <w:szCs w:val="24"/>
        </w:rPr>
        <w:t xml:space="preserve">al Juicio de Amparo número </w:t>
      </w:r>
      <w:r w:rsidR="000D17A0">
        <w:rPr>
          <w:rFonts w:ascii="Century Gothic" w:hAnsi="Century Gothic"/>
          <w:b w:val="0"/>
          <w:sz w:val="24"/>
          <w:szCs w:val="24"/>
        </w:rPr>
        <w:t>386</w:t>
      </w:r>
      <w:r w:rsidR="000D17A0" w:rsidRPr="0052553A">
        <w:rPr>
          <w:rFonts w:ascii="Century Gothic" w:hAnsi="Century Gothic"/>
          <w:b w:val="0"/>
          <w:sz w:val="24"/>
          <w:szCs w:val="24"/>
        </w:rPr>
        <w:t>/</w:t>
      </w:r>
      <w:r w:rsidR="000D17A0">
        <w:rPr>
          <w:rFonts w:ascii="Century Gothic" w:hAnsi="Century Gothic"/>
          <w:b w:val="0"/>
          <w:sz w:val="24"/>
          <w:szCs w:val="24"/>
        </w:rPr>
        <w:t xml:space="preserve">2018 </w:t>
      </w:r>
      <w:r w:rsidR="000D17A0" w:rsidRPr="0052553A">
        <w:rPr>
          <w:rFonts w:ascii="Century Gothic" w:hAnsi="Century Gothic"/>
          <w:b w:val="0"/>
          <w:sz w:val="24"/>
          <w:szCs w:val="24"/>
        </w:rPr>
        <w:t>recibido</w:t>
      </w:r>
      <w:r w:rsidR="000D17A0">
        <w:rPr>
          <w:rFonts w:ascii="Century Gothic" w:hAnsi="Century Gothic"/>
          <w:b w:val="0"/>
          <w:sz w:val="24"/>
          <w:szCs w:val="24"/>
        </w:rPr>
        <w:t xml:space="preserve"> el día tres de junio</w:t>
      </w:r>
      <w:r w:rsidR="000D17A0" w:rsidRPr="0052553A">
        <w:rPr>
          <w:rFonts w:ascii="Century Gothic" w:hAnsi="Century Gothic"/>
          <w:b w:val="0"/>
          <w:sz w:val="24"/>
          <w:szCs w:val="24"/>
        </w:rPr>
        <w:t xml:space="preserve"> del presente año, mediante </w:t>
      </w:r>
      <w:r w:rsidR="000D17A0">
        <w:rPr>
          <w:rFonts w:ascii="Century Gothic" w:hAnsi="Century Gothic"/>
          <w:b w:val="0"/>
          <w:sz w:val="24"/>
          <w:szCs w:val="24"/>
        </w:rPr>
        <w:t>el</w:t>
      </w:r>
      <w:r w:rsidR="000D17A0"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0D17A0" w:rsidRPr="0052553A">
        <w:rPr>
          <w:rFonts w:ascii="Century Gothic" w:hAnsi="Century Gothic"/>
          <w:b w:val="0"/>
          <w:sz w:val="24"/>
          <w:szCs w:val="24"/>
        </w:rPr>
        <w:t>discusión y en su caso aprobación del proye</w:t>
      </w:r>
      <w:r w:rsidR="000D17A0">
        <w:rPr>
          <w:rFonts w:ascii="Century Gothic" w:hAnsi="Century Gothic"/>
          <w:b w:val="0"/>
          <w:sz w:val="24"/>
          <w:szCs w:val="24"/>
        </w:rPr>
        <w:t>cto de sentencia del expediente 1327</w:t>
      </w:r>
      <w:r w:rsidR="000D17A0" w:rsidRPr="0052553A">
        <w:rPr>
          <w:rFonts w:ascii="Century Gothic" w:hAnsi="Century Gothic"/>
          <w:b w:val="0"/>
          <w:sz w:val="24"/>
          <w:szCs w:val="24"/>
        </w:rPr>
        <w:t>/</w:t>
      </w:r>
      <w:r w:rsidR="000D17A0">
        <w:rPr>
          <w:rFonts w:ascii="Century Gothic" w:hAnsi="Century Gothic"/>
          <w:b w:val="0"/>
          <w:sz w:val="24"/>
          <w:szCs w:val="24"/>
        </w:rPr>
        <w:t>2017 Recurso de Reclamación</w:t>
      </w:r>
      <w:r w:rsidR="000D17A0" w:rsidRPr="0052553A">
        <w:rPr>
          <w:rFonts w:ascii="Century Gothic" w:hAnsi="Century Gothic"/>
          <w:b w:val="0"/>
          <w:sz w:val="24"/>
          <w:szCs w:val="24"/>
        </w:rPr>
        <w:t xml:space="preserve"> derivado del Juicio Administrativo </w:t>
      </w:r>
      <w:r w:rsidR="000D17A0">
        <w:rPr>
          <w:rFonts w:ascii="Century Gothic" w:hAnsi="Century Gothic"/>
          <w:b w:val="0"/>
          <w:sz w:val="24"/>
          <w:szCs w:val="24"/>
        </w:rPr>
        <w:t>22</w:t>
      </w:r>
      <w:r w:rsidR="000D17A0" w:rsidRPr="0052553A">
        <w:rPr>
          <w:rFonts w:ascii="Century Gothic" w:hAnsi="Century Gothic"/>
          <w:b w:val="0"/>
          <w:sz w:val="24"/>
          <w:szCs w:val="24"/>
        </w:rPr>
        <w:t>/</w:t>
      </w:r>
      <w:r w:rsidR="000D17A0">
        <w:rPr>
          <w:rFonts w:ascii="Century Gothic" w:hAnsi="Century Gothic"/>
          <w:b w:val="0"/>
          <w:sz w:val="24"/>
          <w:szCs w:val="24"/>
        </w:rPr>
        <w:t>2016</w:t>
      </w:r>
      <w:r w:rsidR="000D17A0" w:rsidRPr="0052553A">
        <w:rPr>
          <w:rFonts w:ascii="Century Gothic" w:hAnsi="Century Gothic"/>
          <w:b w:val="0"/>
          <w:sz w:val="24"/>
          <w:szCs w:val="24"/>
        </w:rPr>
        <w:t xml:space="preserve"> del índice de l</w:t>
      </w:r>
      <w:r w:rsidR="000D17A0">
        <w:rPr>
          <w:rFonts w:ascii="Century Gothic" w:hAnsi="Century Gothic"/>
          <w:b w:val="0"/>
          <w:sz w:val="24"/>
          <w:szCs w:val="24"/>
        </w:rPr>
        <w:t>a Segunda</w:t>
      </w:r>
      <w:r w:rsidR="000D17A0" w:rsidRPr="0052553A">
        <w:rPr>
          <w:rFonts w:ascii="Century Gothic" w:hAnsi="Century Gothic"/>
          <w:b w:val="0"/>
          <w:sz w:val="24"/>
          <w:szCs w:val="24"/>
        </w:rPr>
        <w:t xml:space="preserve"> Sala Unitaria del Tribunal de Justicia Administrativa del Estado, en cumpl</w:t>
      </w:r>
      <w:r w:rsidR="000D17A0">
        <w:rPr>
          <w:rFonts w:ascii="Century Gothic" w:hAnsi="Century Gothic"/>
          <w:b w:val="0"/>
          <w:sz w:val="24"/>
          <w:szCs w:val="24"/>
        </w:rPr>
        <w:t>imiento al Juicio de Amparo 386/2018 del Primer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882E99">
            <w:pPr>
              <w:pStyle w:val="Textosinformato"/>
              <w:rPr>
                <w:rFonts w:eastAsia="Calibri"/>
                <w:szCs w:val="24"/>
              </w:rPr>
            </w:pPr>
            <w:r w:rsidRPr="0091370E">
              <w:rPr>
                <w:rFonts w:eastAsia="Calibri"/>
                <w:b/>
                <w:szCs w:val="24"/>
              </w:rPr>
              <w:t>ACU/SS/</w:t>
            </w:r>
            <w:r w:rsidR="000D17A0">
              <w:rPr>
                <w:rFonts w:eastAsia="Calibri"/>
                <w:b/>
                <w:szCs w:val="24"/>
              </w:rPr>
              <w:t>02/29</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sidR="000D17A0">
              <w:rPr>
                <w:rFonts w:eastAsia="Calibri"/>
                <w:szCs w:val="24"/>
              </w:rPr>
              <w:t>1327</w:t>
            </w:r>
            <w:r w:rsidRPr="0091370E">
              <w:rPr>
                <w:rFonts w:eastAsia="Calibri"/>
                <w:szCs w:val="24"/>
              </w:rPr>
              <w:t>/</w:t>
            </w:r>
            <w:r w:rsidR="000D17A0">
              <w:rPr>
                <w:rFonts w:eastAsia="Calibri"/>
                <w:szCs w:val="24"/>
              </w:rPr>
              <w:t>2017</w:t>
            </w:r>
            <w:r w:rsidR="000913EC">
              <w:rPr>
                <w:rFonts w:eastAsia="Calibri"/>
                <w:szCs w:val="24"/>
              </w:rPr>
              <w:t xml:space="preserve"> Recurso de Reclam</w:t>
            </w:r>
            <w:r w:rsidRPr="0091370E">
              <w:rPr>
                <w:rFonts w:eastAsia="Calibri"/>
                <w:szCs w:val="24"/>
              </w:rPr>
              <w:t xml:space="preserve">ación, derivado del Juicio Administrativo </w:t>
            </w:r>
            <w:r w:rsidR="000D17A0">
              <w:rPr>
                <w:rFonts w:eastAsia="Calibri"/>
                <w:szCs w:val="24"/>
              </w:rPr>
              <w:t>22/2016 del índice de la Segunda</w:t>
            </w:r>
            <w:r w:rsidRPr="0091370E">
              <w:rPr>
                <w:rFonts w:eastAsia="Calibri"/>
                <w:szCs w:val="24"/>
              </w:rPr>
              <w:t xml:space="preserve"> Sala Unitaria del Tribunal de Justicia Administrativa del Estado. Gírese oficio con los insertos necesarios al </w:t>
            </w:r>
            <w:r w:rsidR="00095FBB">
              <w:rPr>
                <w:szCs w:val="24"/>
              </w:rPr>
              <w:t>Primer</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095FBB">
              <w:rPr>
                <w:rFonts w:eastAsia="Calibri"/>
                <w:szCs w:val="24"/>
              </w:rPr>
              <w:t>386</w:t>
            </w:r>
            <w:r w:rsidRPr="0091370E">
              <w:rPr>
                <w:rFonts w:eastAsia="Calibri"/>
                <w:szCs w:val="24"/>
              </w:rPr>
              <w:t>/20</w:t>
            </w:r>
            <w:r w:rsidR="000913EC">
              <w:rPr>
                <w:rFonts w:eastAsia="Calibri"/>
                <w:szCs w:val="24"/>
              </w:rPr>
              <w:t>18</w:t>
            </w:r>
            <w:r w:rsidRPr="0091370E">
              <w:rPr>
                <w:rFonts w:eastAsia="Calibri"/>
                <w:szCs w:val="24"/>
              </w:rPr>
              <w:t xml:space="preserve">, para su debido cumplimiento. </w:t>
            </w:r>
          </w:p>
        </w:tc>
      </w:tr>
    </w:tbl>
    <w:p w:rsidR="00610CE0" w:rsidRPr="00EC0293" w:rsidRDefault="00610CE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F11D60">
        <w:rPr>
          <w:b/>
          <w:szCs w:val="24"/>
        </w:rPr>
        <w:t>quince</w:t>
      </w:r>
      <w:r w:rsidR="007005F4" w:rsidRPr="0091370E">
        <w:rPr>
          <w:b/>
          <w:szCs w:val="24"/>
        </w:rPr>
        <w:t xml:space="preserve"> minutos</w:t>
      </w:r>
      <w:r w:rsidR="007005F4" w:rsidRPr="0091370E">
        <w:rPr>
          <w:szCs w:val="24"/>
        </w:rPr>
        <w:t xml:space="preserve"> del </w:t>
      </w:r>
      <w:r w:rsidR="00095FBB">
        <w:rPr>
          <w:b/>
          <w:szCs w:val="24"/>
        </w:rPr>
        <w:t>diecisiete</w:t>
      </w:r>
      <w:r w:rsidR="00371E00">
        <w:rPr>
          <w:b/>
          <w:szCs w:val="24"/>
        </w:rPr>
        <w:t xml:space="preserve"> de </w:t>
      </w:r>
      <w:r w:rsidR="001246A4">
        <w:rPr>
          <w:b/>
          <w:szCs w:val="24"/>
        </w:rPr>
        <w:t>junio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F11D60">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B52596" w:rsidRDefault="00571730" w:rsidP="00B52596">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sectPr w:rsidR="00CB6111" w:rsidRPr="00B525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25226">
      <w:rPr>
        <w:rStyle w:val="Nmerodepgina"/>
        <w:noProof/>
      </w:rPr>
      <w:t>3</w:t>
    </w:r>
    <w:r>
      <w:rPr>
        <w:rStyle w:val="Nmerodepgina"/>
      </w:rPr>
      <w:fldChar w:fldCharType="end"/>
    </w:r>
    <w:r w:rsidR="00F11D60">
      <w:rPr>
        <w:rStyle w:val="Nmerodepgina"/>
        <w:sz w:val="18"/>
      </w:rPr>
      <w:t>/3</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VIGÉSIMA</w:t>
    </w:r>
    <w:r w:rsidR="00095FBB">
      <w:rPr>
        <w:rStyle w:val="Nmerodepgina"/>
        <w:rFonts w:ascii="Century Gothic" w:hAnsi="Century Gothic"/>
        <w:smallCaps/>
      </w:rPr>
      <w:t xml:space="preserve"> NOVENA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095FBB" w:rsidP="007A710B">
    <w:pPr>
      <w:pStyle w:val="Piedepgina"/>
      <w:jc w:val="right"/>
      <w:rPr>
        <w:rStyle w:val="Nmerodepgina"/>
        <w:rFonts w:ascii="Century Gothic" w:hAnsi="Century Gothic"/>
        <w:smallCaps/>
      </w:rPr>
    </w:pPr>
    <w:r>
      <w:rPr>
        <w:rStyle w:val="Nmerodepgina"/>
        <w:rFonts w:ascii="Century Gothic" w:hAnsi="Century Gothic"/>
        <w:smallCaps/>
      </w:rPr>
      <w:t>DIECISIETE</w:t>
    </w:r>
    <w:r w:rsidR="001246A4">
      <w:rPr>
        <w:rStyle w:val="Nmerodepgina"/>
        <w:rFonts w:ascii="Century Gothic" w:hAnsi="Century Gothic"/>
        <w:smallCaps/>
      </w:rPr>
      <w:t xml:space="preserve"> DE JUNIO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99"/>
    <w:rsid w:val="002300AD"/>
    <w:rsid w:val="0024319B"/>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11A8"/>
    <w:rsid w:val="002E28CF"/>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2B0A"/>
    <w:rsid w:val="007A4A72"/>
    <w:rsid w:val="007A710B"/>
    <w:rsid w:val="007C7DCF"/>
    <w:rsid w:val="007D3CC3"/>
    <w:rsid w:val="007D7204"/>
    <w:rsid w:val="007E1CEC"/>
    <w:rsid w:val="007E30F7"/>
    <w:rsid w:val="007F2F84"/>
    <w:rsid w:val="007F4574"/>
    <w:rsid w:val="007F65C2"/>
    <w:rsid w:val="00805C6D"/>
    <w:rsid w:val="00810070"/>
    <w:rsid w:val="00811866"/>
    <w:rsid w:val="0082522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329F-BBC3-4FC4-94AA-692AF2E2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2019-05-29T17:57:00Z</cp:lastPrinted>
  <dcterms:created xsi:type="dcterms:W3CDTF">2019-06-24T16:10:00Z</dcterms:created>
  <dcterms:modified xsi:type="dcterms:W3CDTF">2019-08-21T16:00:00Z</dcterms:modified>
</cp:coreProperties>
</file>